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C1" w:rsidRDefault="00BF7EC1" w:rsidP="00BF7EC1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r>
        <w:rPr>
          <w:rFonts w:ascii="宋体" w:eastAsia="宋体" w:hAnsi="宋体"/>
          <w:sz w:val="24"/>
          <w:szCs w:val="24"/>
        </w:rPr>
        <w:t>一．需求一览表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239"/>
        <w:gridCol w:w="2719"/>
      </w:tblGrid>
      <w:tr w:rsidR="00BF7EC1" w:rsidTr="003672BE">
        <w:trPr>
          <w:trHeight w:val="506"/>
          <w:jc w:val="center"/>
        </w:trPr>
        <w:tc>
          <w:tcPr>
            <w:tcW w:w="916" w:type="pct"/>
            <w:vAlign w:val="center"/>
          </w:tcPr>
          <w:p w:rsidR="00BF7EC1" w:rsidRDefault="00BF7EC1" w:rsidP="003672BE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</w:p>
        </w:tc>
        <w:tc>
          <w:tcPr>
            <w:tcW w:w="2487" w:type="pct"/>
            <w:vAlign w:val="center"/>
          </w:tcPr>
          <w:p w:rsidR="00BF7EC1" w:rsidRDefault="00BF7EC1" w:rsidP="003672BE">
            <w:pPr>
              <w:spacing w:line="360" w:lineRule="auto"/>
              <w:ind w:rightChars="26" w:right="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BF7EC1" w:rsidRDefault="00BF7EC1" w:rsidP="003672BE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BF7EC1" w:rsidTr="003672BE">
        <w:trPr>
          <w:trHeight w:val="311"/>
          <w:jc w:val="center"/>
        </w:trPr>
        <w:tc>
          <w:tcPr>
            <w:tcW w:w="916" w:type="pct"/>
            <w:vAlign w:val="center"/>
          </w:tcPr>
          <w:p w:rsidR="00BF7EC1" w:rsidRDefault="00BF7EC1" w:rsidP="003672BE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BF7EC1" w:rsidRDefault="00BF7EC1" w:rsidP="003672BE">
            <w:pPr>
              <w:jc w:val="center"/>
              <w:textAlignment w:val="center"/>
            </w:pPr>
            <w:r>
              <w:rPr>
                <w:rFonts w:hint="eastAsia"/>
              </w:rPr>
              <w:t>3D/4K/荧光内窥镜</w:t>
            </w:r>
          </w:p>
        </w:tc>
        <w:tc>
          <w:tcPr>
            <w:tcW w:w="1595" w:type="pct"/>
            <w:vAlign w:val="center"/>
          </w:tcPr>
          <w:p w:rsidR="00BF7EC1" w:rsidRDefault="00BF7EC1" w:rsidP="003672BE">
            <w:pPr>
              <w:jc w:val="center"/>
              <w:textAlignment w:val="center"/>
            </w:pPr>
            <w:r>
              <w:rPr>
                <w:rFonts w:hint="eastAsia"/>
              </w:rPr>
              <w:t>1套</w:t>
            </w:r>
          </w:p>
        </w:tc>
      </w:tr>
    </w:tbl>
    <w:p w:rsidR="00BF7EC1" w:rsidRDefault="00BF7EC1" w:rsidP="00BF7EC1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p w:rsidR="00BF7EC1" w:rsidRDefault="00BF7EC1" w:rsidP="00BF7EC1">
      <w:pPr>
        <w:rPr>
          <w:b/>
          <w:szCs w:val="21"/>
        </w:rPr>
      </w:pPr>
      <w:bookmarkStart w:id="3" w:name="_Toc105663482"/>
      <w:bookmarkEnd w:id="2"/>
      <w:r>
        <w:rPr>
          <w:rFonts w:hint="eastAsia"/>
          <w:b/>
          <w:szCs w:val="21"/>
        </w:rPr>
        <w:t>1、超高清摄像主机 1套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 xml:space="preserve">#1.1 </w:t>
      </w:r>
      <w:r>
        <w:rPr>
          <w:rFonts w:hint="eastAsia"/>
          <w:szCs w:val="21"/>
          <w:lang w:val="de-DE"/>
        </w:rPr>
        <w:t>输出分辨率≥3840x2160，逐行扫描；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 xml:space="preserve">1.2 </w:t>
      </w:r>
      <w:r>
        <w:rPr>
          <w:rFonts w:hint="eastAsia"/>
          <w:szCs w:val="21"/>
          <w:lang w:val="de-DE"/>
        </w:rPr>
        <w:t>图像色域范围BT≥ 2020；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1.3 主机</w:t>
      </w:r>
      <w:r>
        <w:rPr>
          <w:rFonts w:hint="eastAsia"/>
          <w:szCs w:val="21"/>
          <w:lang w:val="de-DE"/>
        </w:rPr>
        <w:t>集成图文工作站功能，可术中记录1920x1080全高清录像及3840x2160 超高清图片，通过主机面板的USB接口，连接U盘便可以记录，</w:t>
      </w:r>
      <w:r>
        <w:rPr>
          <w:rFonts w:hint="eastAsia"/>
          <w:szCs w:val="21"/>
        </w:rPr>
        <w:t>并</w:t>
      </w:r>
      <w:r>
        <w:rPr>
          <w:rFonts w:hint="eastAsia"/>
          <w:szCs w:val="21"/>
          <w:lang w:val="de-DE"/>
        </w:rPr>
        <w:t>通过</w:t>
      </w:r>
      <w:r>
        <w:rPr>
          <w:rFonts w:hint="eastAsia"/>
          <w:szCs w:val="21"/>
        </w:rPr>
        <w:t>摄</w:t>
      </w:r>
      <w:r>
        <w:rPr>
          <w:rFonts w:hint="eastAsia"/>
          <w:szCs w:val="21"/>
          <w:lang w:val="de-DE"/>
        </w:rPr>
        <w:t>像头一键控制；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 xml:space="preserve">1.4 </w:t>
      </w:r>
      <w:r>
        <w:rPr>
          <w:rFonts w:hint="eastAsia"/>
          <w:szCs w:val="21"/>
          <w:lang w:val="de-DE"/>
        </w:rPr>
        <w:t>主机可同时处理两路图像信号，进行标准画面与增强画面进行同屏对比显示；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1.5 通过摄像头控制</w:t>
      </w:r>
      <w:r>
        <w:rPr>
          <w:rFonts w:hint="eastAsia"/>
          <w:szCs w:val="21"/>
          <w:lang w:val="de-DE"/>
        </w:rPr>
        <w:t>可实现单平台双镜联合，两幅不同内镜图像在同一显示器分屏显示；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1.6 模块化设计，通过搭载不同的镜种，可以实现3D、荧光功能；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1.7 可同时处理可见光波段及近红外波段；</w:t>
      </w:r>
    </w:p>
    <w:p w:rsidR="00BF7EC1" w:rsidRDefault="00BF7EC1" w:rsidP="00BF7EC1">
      <w:pPr>
        <w:ind w:firstLineChars="100" w:firstLine="240"/>
        <w:rPr>
          <w:lang w:val="de-DE"/>
        </w:rPr>
      </w:pPr>
      <w:r>
        <w:rPr>
          <w:rFonts w:hint="eastAsia"/>
          <w:szCs w:val="21"/>
        </w:rPr>
        <w:t>#1.8 ≥5种影像增强功能，</w:t>
      </w:r>
      <w:r>
        <w:rPr>
          <w:rFonts w:hint="eastAsia"/>
          <w:szCs w:val="21"/>
          <w:lang w:val="de-DE"/>
        </w:rPr>
        <w:t>可根据手术需要，动态调节画面亮度，暗处增亮，并降低反光；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1.9具备</w:t>
      </w:r>
      <w:r>
        <w:rPr>
          <w:rFonts w:hint="eastAsia"/>
          <w:szCs w:val="21"/>
          <w:lang w:val="de-DE"/>
        </w:rPr>
        <w:t>至少2种腔镜光谱分析处理模式，可提高对血管的辨识度；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1.10</w:t>
      </w:r>
      <w:r>
        <w:rPr>
          <w:rFonts w:hint="eastAsia"/>
          <w:szCs w:val="21"/>
          <w:lang w:val="de-DE"/>
        </w:rPr>
        <w:t>可通过画中画功能实现≥4种同屏显示模式；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1.11</w:t>
      </w:r>
      <w:r>
        <w:rPr>
          <w:rFonts w:hint="eastAsia"/>
          <w:szCs w:val="21"/>
          <w:lang w:val="de-DE"/>
        </w:rPr>
        <w:t>术野画面≥</w:t>
      </w:r>
      <w:r>
        <w:rPr>
          <w:rFonts w:hint="eastAsia"/>
          <w:szCs w:val="21"/>
        </w:rPr>
        <w:t>4</w:t>
      </w:r>
      <w:r>
        <w:rPr>
          <w:rFonts w:hint="eastAsia"/>
          <w:szCs w:val="21"/>
          <w:lang w:val="de-DE"/>
        </w:rPr>
        <w:t>级亮度可调；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1.12</w:t>
      </w:r>
      <w:r>
        <w:rPr>
          <w:rFonts w:hint="eastAsia"/>
          <w:szCs w:val="21"/>
          <w:lang w:val="de-DE"/>
        </w:rPr>
        <w:t>术野画面≥3倍电子放大功能，≥</w:t>
      </w:r>
      <w:r>
        <w:rPr>
          <w:rFonts w:hint="eastAsia"/>
          <w:szCs w:val="21"/>
        </w:rPr>
        <w:t>6</w:t>
      </w:r>
      <w:r>
        <w:rPr>
          <w:rFonts w:hint="eastAsia"/>
          <w:szCs w:val="21"/>
          <w:lang w:val="de-DE"/>
        </w:rPr>
        <w:t>级可调，具备自适应缩放功能；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1.13</w:t>
      </w:r>
      <w:r>
        <w:rPr>
          <w:rFonts w:hint="eastAsia"/>
          <w:szCs w:val="21"/>
          <w:lang w:val="de-DE"/>
        </w:rPr>
        <w:t>至少2种纤维镜图像优化功能；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1.14</w:t>
      </w:r>
      <w:r>
        <w:rPr>
          <w:rFonts w:hint="eastAsia"/>
          <w:szCs w:val="21"/>
          <w:lang w:val="de-DE"/>
        </w:rPr>
        <w:t>术野画面可实现上下、左右及180°翻转功能；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1.15</w:t>
      </w:r>
      <w:r>
        <w:rPr>
          <w:rFonts w:hint="eastAsia"/>
          <w:szCs w:val="21"/>
          <w:lang w:val="de-DE"/>
        </w:rPr>
        <w:t>通过摄像头可操控手术设备，如气腹机，冷光源，并可实现与一体化手术室无缝连接；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 xml:space="preserve">1.16 </w:t>
      </w:r>
      <w:r>
        <w:rPr>
          <w:rFonts w:hint="eastAsia"/>
          <w:szCs w:val="21"/>
          <w:lang w:val="de-DE"/>
        </w:rPr>
        <w:t>≥4个USB接口；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#1.17</w:t>
      </w:r>
      <w:r>
        <w:rPr>
          <w:rFonts w:hint="eastAsia"/>
          <w:szCs w:val="21"/>
          <w:lang w:val="de-DE"/>
        </w:rPr>
        <w:t>输出端口：DP数字端口≥2个，12G-SDI数字端口≥1个，DVI-D数字端口≥1个；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1.18</w:t>
      </w:r>
      <w:r>
        <w:rPr>
          <w:rFonts w:hint="eastAsia"/>
          <w:szCs w:val="21"/>
          <w:lang w:val="de-DE"/>
        </w:rPr>
        <w:t>电气安全：医用设备电气安全CF级别I类防护，可应用于心脏设备。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2、摄像头 1个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2.1</w:t>
      </w:r>
      <w:r>
        <w:rPr>
          <w:rFonts w:hint="eastAsia"/>
          <w:szCs w:val="21"/>
          <w:lang w:val="de-DE"/>
        </w:rPr>
        <w:t>采集像素：摄像头像素≥3840 x 2160，</w:t>
      </w:r>
      <w:r>
        <w:rPr>
          <w:rFonts w:hint="eastAsia"/>
          <w:szCs w:val="21"/>
        </w:rPr>
        <w:t>逐行扫描；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2.2</w:t>
      </w:r>
      <w:r>
        <w:rPr>
          <w:rFonts w:hint="eastAsia"/>
          <w:szCs w:val="21"/>
          <w:lang w:val="de-DE"/>
        </w:rPr>
        <w:t>重量≤</w:t>
      </w:r>
      <w:r>
        <w:rPr>
          <w:rFonts w:hint="eastAsia"/>
          <w:szCs w:val="21"/>
        </w:rPr>
        <w:t>300</w:t>
      </w:r>
      <w:r>
        <w:rPr>
          <w:rFonts w:hint="eastAsia"/>
          <w:szCs w:val="21"/>
          <w:lang w:val="de-DE"/>
        </w:rPr>
        <w:t>g，握持轻便；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2.3</w:t>
      </w:r>
      <w:r>
        <w:rPr>
          <w:rFonts w:hint="eastAsia"/>
          <w:szCs w:val="21"/>
          <w:lang w:val="de-DE"/>
        </w:rPr>
        <w:t>可同时采集可见光波段及近红外波段；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#2.4 ≥5种显影模式：重叠荧光模式、黑白荧光模式、强度导航模式等；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2.5</w:t>
      </w:r>
      <w:r>
        <w:rPr>
          <w:rFonts w:hint="eastAsia"/>
          <w:szCs w:val="21"/>
          <w:lang w:val="de-DE"/>
        </w:rPr>
        <w:t>可实现通过摄像头按键控制气腹机，冷光源；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2.6</w:t>
      </w:r>
      <w:r>
        <w:rPr>
          <w:rFonts w:hint="eastAsia"/>
          <w:szCs w:val="21"/>
          <w:lang w:val="de-DE"/>
        </w:rPr>
        <w:t>摄像头</w:t>
      </w:r>
      <w:r>
        <w:rPr>
          <w:rFonts w:hint="eastAsia"/>
          <w:szCs w:val="21"/>
        </w:rPr>
        <w:t>≥</w:t>
      </w:r>
      <w:r>
        <w:rPr>
          <w:rFonts w:hint="eastAsia"/>
          <w:szCs w:val="21"/>
          <w:lang w:val="de-DE"/>
        </w:rPr>
        <w:t>2个按键可设置≥4种快捷键，可预设功能至少包括术野录像、拍照、打印、调节白平衡、FI模式、FI开关等；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>2.7</w:t>
      </w:r>
      <w:r>
        <w:rPr>
          <w:rFonts w:hint="eastAsia"/>
          <w:szCs w:val="21"/>
          <w:lang w:val="de-DE"/>
        </w:rPr>
        <w:t>电气安全：医用设备电气安全CF-1类，可应用于心脏设备。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3.冷光源 1套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3.1 色温≥5000K；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lastRenderedPageBreak/>
        <w:t>3.2 LED灯，灯泡寿命≥25000小时；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3.3 通过脚踏和摄像头进行荧光和白光模式的切换；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3.4光源亮度可连续调节；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</w:rPr>
        <w:t>#</w:t>
      </w:r>
      <w:r>
        <w:rPr>
          <w:rFonts w:hint="eastAsia"/>
          <w:szCs w:val="21"/>
        </w:rPr>
        <w:t>3.5 光源使用LED技术，白光和荧光均使用LED技术实现；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#3.6安全等级：</w:t>
      </w:r>
      <w:r>
        <w:rPr>
          <w:rFonts w:hint="eastAsia"/>
          <w:szCs w:val="21"/>
          <w:lang w:val="de-DE"/>
        </w:rPr>
        <w:t>医用设备电气安全</w:t>
      </w:r>
      <w:r>
        <w:rPr>
          <w:rFonts w:hint="eastAsia"/>
          <w:szCs w:val="21"/>
        </w:rPr>
        <w:t>CF级I类防护，可直接用于心脏手术。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4、纤维导光束 15根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4.1直径4.8mm，长度≥250mm；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4.2配有带锁扣设计，能够防止脱落。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5.监视器 1台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5.1 ≥31寸3D医用监视器；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5.2 分辨率≥3840x2160；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5.3 双屏显示功能，包括但不限于画中画模式、画外画模式；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5.4 4K3D信号输入、输出。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6、监视器 1台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6.1 ≥27寸医用监视器；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6.2 分辨率≥1920x1080。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6.3 双屏显示功能。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7、荧光光学镜 5根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7.1柱状晶体设计，亮度高，无变形；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7.2视向角30°，超广角设计；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7.3直径10mm，长度≥31cm；</w:t>
      </w:r>
    </w:p>
    <w:p w:rsidR="00BF7EC1" w:rsidRDefault="00BF7EC1" w:rsidP="00BF7EC1">
      <w:pPr>
        <w:ind w:firstLineChars="100" w:firstLine="240"/>
        <w:rPr>
          <w:b/>
          <w:szCs w:val="21"/>
        </w:rPr>
      </w:pPr>
      <w:r>
        <w:rPr>
          <w:rFonts w:hint="eastAsia"/>
          <w:szCs w:val="21"/>
        </w:rPr>
        <w:t>7.4能够进行高温高压消毒。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8、3D荧光电子镜 2根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 xml:space="preserve">8.1 </w:t>
      </w:r>
      <w:r>
        <w:rPr>
          <w:rFonts w:hint="eastAsia"/>
          <w:szCs w:val="21"/>
          <w:lang w:val="de-DE"/>
        </w:rPr>
        <w:t>4K3D荧光三合一电子镜，晶片前置，具有头端防雾功能；</w:t>
      </w:r>
    </w:p>
    <w:p w:rsidR="00BF7EC1" w:rsidRDefault="00BF7EC1" w:rsidP="00BF7EC1">
      <w:pPr>
        <w:ind w:firstLineChars="100" w:firstLine="240"/>
        <w:rPr>
          <w:szCs w:val="21"/>
          <w:lang w:val="de-DE"/>
        </w:rPr>
      </w:pPr>
      <w:r>
        <w:rPr>
          <w:rFonts w:hint="eastAsia"/>
          <w:szCs w:val="21"/>
        </w:rPr>
        <w:t xml:space="preserve">8.2 </w:t>
      </w:r>
      <w:r>
        <w:rPr>
          <w:rFonts w:hint="eastAsia"/>
          <w:szCs w:val="21"/>
          <w:lang w:val="de-DE"/>
        </w:rPr>
        <w:t>采集像素3840 x 2160，双路4K采集，逐行扫描；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8.3 电子镜整体均可以进行预真空高温高压灭菌；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cs="等线" w:hint="eastAsia"/>
        </w:rPr>
        <w:t>#</w:t>
      </w:r>
      <w:r>
        <w:rPr>
          <w:rFonts w:hint="eastAsia"/>
          <w:szCs w:val="21"/>
        </w:rPr>
        <w:t>8.4 3D/2D旋转模式，可360°旋转，具备180°自动翻转功能，支持自动水平校准；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#8.5 ≥5种显影模式：重叠荧光模式、黑白荧光模式、强度导航模式等；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8.6 ≥5级电子放大功能；</w:t>
      </w:r>
    </w:p>
    <w:p w:rsidR="00BF7EC1" w:rsidRDefault="00BF7EC1" w:rsidP="00BF7EC1">
      <w:pPr>
        <w:ind w:firstLineChars="100" w:firstLine="240"/>
      </w:pPr>
      <w:r>
        <w:rPr>
          <w:rFonts w:hint="eastAsia"/>
          <w:szCs w:val="21"/>
        </w:rPr>
        <w:t xml:space="preserve">8.7 </w:t>
      </w:r>
      <w:r>
        <w:rPr>
          <w:rFonts w:hint="eastAsia"/>
        </w:rPr>
        <w:t>重量≤450g，导光束与镜子连接可拆分式设计；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8.8 免调焦设计，在立体视觉中全部景深范围内均清晰呈现；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8.9 摄像头≥3个按键，可设置≥4种快捷键，可预设功能至少包括术野录像、拍照、打印、调节白平衡、FI模式、FI开关等；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8.10 可实现通过摄像头按键控制气腹机，冷光源；</w:t>
      </w:r>
    </w:p>
    <w:p w:rsidR="00BF7EC1" w:rsidRDefault="00BF7EC1" w:rsidP="00BF7EC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#8.11 电气安全：医用设备电气安全CF级别I类防护，可应用于心脏设备。</w:t>
      </w:r>
    </w:p>
    <w:p w:rsidR="00BF7EC1" w:rsidRDefault="00BF7EC1" w:rsidP="00BF7EC1">
      <w:pPr>
        <w:rPr>
          <w:b/>
          <w:szCs w:val="21"/>
        </w:rPr>
      </w:pPr>
      <w:r>
        <w:rPr>
          <w:rFonts w:hint="eastAsia"/>
          <w:b/>
          <w:szCs w:val="21"/>
        </w:rPr>
        <w:t>9、台车 1台</w:t>
      </w:r>
    </w:p>
    <w:p w:rsidR="00BF7EC1" w:rsidRDefault="00BF7EC1" w:rsidP="00BF7EC1">
      <w:pPr>
        <w:ind w:firstLineChars="100" w:firstLine="240"/>
      </w:pPr>
      <w:r>
        <w:rPr>
          <w:rFonts w:hint="eastAsia"/>
          <w:szCs w:val="21"/>
        </w:rPr>
        <w:t xml:space="preserve"> 9.1 专用台车。</w:t>
      </w:r>
    </w:p>
    <w:p w:rsidR="00BF7EC1" w:rsidRDefault="00BF7EC1" w:rsidP="00BF7EC1">
      <w:pPr>
        <w:pStyle w:val="2"/>
        <w:tabs>
          <w:tab w:val="left" w:pos="5580"/>
        </w:tabs>
        <w:spacing w:line="360" w:lineRule="auto"/>
        <w:ind w:leftChars="0" w:left="0" w:firstLineChars="0" w:firstLine="0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★</w:t>
      </w:r>
      <w:r>
        <w:rPr>
          <w:rFonts w:hint="eastAsia"/>
          <w:b/>
          <w:sz w:val="24"/>
        </w:rPr>
        <w:t>投标人所投产品为第二、三类医疗器械，须提供所投产品的中华人民共和国医疗器械注册证；投标人所投产品为第一类医疗器械，须提供第一类医疗器械备案凭证。</w:t>
      </w:r>
    </w:p>
    <w:p w:rsidR="00BF7EC1" w:rsidRDefault="00BF7EC1" w:rsidP="00BF7EC1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三.商务要求</w:t>
      </w:r>
      <w:bookmarkEnd w:id="3"/>
    </w:p>
    <w:p w:rsidR="00BF7EC1" w:rsidRDefault="00BF7EC1" w:rsidP="00BF7EC1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  <w:r>
        <w:rPr>
          <w:rFonts w:ascii="Times New Roman" w:hint="eastAsia"/>
          <w:color w:val="000000"/>
        </w:rPr>
        <w:t>及配套实施要求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（1）交付时间：合同签订后30天交货；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（2）</w:t>
      </w: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  <w:r>
        <w:rPr>
          <w:rFonts w:hint="eastAsia"/>
          <w:bCs/>
        </w:rPr>
        <w:t>。</w:t>
      </w:r>
    </w:p>
    <w:p w:rsidR="00BF7EC1" w:rsidRDefault="00BF7EC1" w:rsidP="00BF7EC1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BF7EC1" w:rsidRDefault="00BF7EC1" w:rsidP="00BF7EC1">
      <w:pPr>
        <w:spacing w:line="360" w:lineRule="auto"/>
        <w:ind w:rightChars="46" w:right="110"/>
        <w:rPr>
          <w:b/>
        </w:rPr>
      </w:pPr>
      <w:r>
        <w:rPr>
          <w:rFonts w:hint="eastAsia"/>
          <w:bCs/>
        </w:rPr>
        <w:t>（1）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（2）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设备整机不低于3年，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（3）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（4）</w:t>
      </w:r>
      <w:r>
        <w:rPr>
          <w:bCs/>
        </w:rPr>
        <w:t>开机率≥95%，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设备发生故障，保修反应时间在1小时内，工程师12小时</w:t>
      </w:r>
      <w:r>
        <w:rPr>
          <w:rFonts w:hint="eastAsia"/>
          <w:bCs/>
        </w:rPr>
        <w:t>内</w:t>
      </w:r>
      <w:r>
        <w:rPr>
          <w:bCs/>
        </w:rPr>
        <w:t>到达现场，24小时</w:t>
      </w:r>
      <w:r>
        <w:rPr>
          <w:rFonts w:hint="eastAsia"/>
          <w:bCs/>
        </w:rPr>
        <w:t>内</w:t>
      </w:r>
      <w:r>
        <w:rPr>
          <w:bCs/>
        </w:rPr>
        <w:t>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（5）免费质保期后零配件及易损件应以低于市场价的价格保障优惠供货。</w:t>
      </w:r>
    </w:p>
    <w:p w:rsidR="00BF7EC1" w:rsidRDefault="00BF7EC1" w:rsidP="00BF7EC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（6）</w:t>
      </w:r>
      <w:r>
        <w:rPr>
          <w:bCs/>
        </w:rPr>
        <w:t>设备升级时，卖方免费为买方提供升级。</w:t>
      </w:r>
    </w:p>
    <w:p w:rsidR="00BF7EC1" w:rsidRDefault="00BF7EC1" w:rsidP="00BF7EC1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BF7EC1" w:rsidRDefault="00BF7EC1" w:rsidP="00BF7EC1">
      <w:pPr>
        <w:pStyle w:val="a0"/>
        <w:spacing w:line="360" w:lineRule="auto"/>
        <w:ind w:firstLine="0"/>
        <w:rPr>
          <w:szCs w:val="24"/>
        </w:rPr>
      </w:pPr>
      <w:r>
        <w:rPr>
          <w:szCs w:val="24"/>
        </w:rPr>
        <w:t>除非在技术规格中另有说明，所有仪器、设备和系统按下列要求进行验收：</w:t>
      </w:r>
    </w:p>
    <w:p w:rsidR="00BF7EC1" w:rsidRDefault="00BF7EC1" w:rsidP="00BF7EC1">
      <w:pPr>
        <w:pStyle w:val="a0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（1）</w:t>
      </w:r>
      <w:r>
        <w:rPr>
          <w:szCs w:val="24"/>
        </w:rPr>
        <w:t>仪器设备运抵安装现场后，采购人将与供货方共同开箱验收，如供货方届时不指派人员参与，则验收结果应以采购人的验收报告为最终验收结果。验收时发现短缺、破损，采购人有权要求供货方负责更换。</w:t>
      </w:r>
    </w:p>
    <w:p w:rsidR="00BF7EC1" w:rsidRDefault="00BF7EC1" w:rsidP="00BF7EC1">
      <w:pPr>
        <w:pStyle w:val="a0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rPr>
          <w:szCs w:val="24"/>
        </w:rPr>
        <w:t>。验收时如发现中标人在投标时存在虚假指标响应情况，采购人将取消合同并依法追究中标人的责任，中标人必须承担由此给采购人带来的一切经济损失。</w:t>
      </w:r>
    </w:p>
    <w:p w:rsidR="000A30C8" w:rsidRPr="00BF7EC1" w:rsidRDefault="00BF7EC1" w:rsidP="00BF7EC1">
      <w:r>
        <w:rPr>
          <w:rFonts w:hint="eastAsia"/>
        </w:rPr>
        <w:lastRenderedPageBreak/>
        <w:t>（3）</w:t>
      </w:r>
      <w:r>
        <w:t>验收由采购人、中标人及相关人员依国家有关标准、合同及有关附件要求进行，验收完毕由采购人代表及中标人代表在验收报告上签字。</w:t>
      </w:r>
      <w:bookmarkStart w:id="7" w:name="_GoBack"/>
      <w:bookmarkEnd w:id="7"/>
    </w:p>
    <w:sectPr w:rsidR="000A30C8" w:rsidRPr="00BF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F8" w:rsidRDefault="00CF64F8" w:rsidP="00BF7EC1">
      <w:r>
        <w:separator/>
      </w:r>
    </w:p>
  </w:endnote>
  <w:endnote w:type="continuationSeparator" w:id="0">
    <w:p w:rsidR="00CF64F8" w:rsidRDefault="00CF64F8" w:rsidP="00B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F8" w:rsidRDefault="00CF64F8" w:rsidP="00BF7EC1">
      <w:r>
        <w:separator/>
      </w:r>
    </w:p>
  </w:footnote>
  <w:footnote w:type="continuationSeparator" w:id="0">
    <w:p w:rsidR="00CF64F8" w:rsidRDefault="00CF64F8" w:rsidP="00BF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7"/>
    <w:rsid w:val="000A30C8"/>
    <w:rsid w:val="003D257A"/>
    <w:rsid w:val="00BF7EC1"/>
    <w:rsid w:val="00CF64F8"/>
    <w:rsid w:val="00E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57A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1"/>
    <w:qFormat/>
    <w:rsid w:val="003D257A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3D257A"/>
    <w:rPr>
      <w:rFonts w:ascii="宋体" w:eastAsia="宋体" w:hAnsi="宋体" w:cs="宋体"/>
      <w:b/>
      <w:bCs/>
      <w:kern w:val="0"/>
      <w:sz w:val="32"/>
      <w:szCs w:val="32"/>
    </w:rPr>
  </w:style>
  <w:style w:type="paragraph" w:styleId="a0">
    <w:name w:val="Normal Indent"/>
    <w:basedOn w:val="a"/>
    <w:link w:val="Char"/>
    <w:qFormat/>
    <w:rsid w:val="003D257A"/>
    <w:pPr>
      <w:autoSpaceDE w:val="0"/>
      <w:autoSpaceDN w:val="0"/>
      <w:adjustRightInd w:val="0"/>
      <w:ind w:firstLine="420"/>
    </w:pPr>
    <w:rPr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3D257A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Char1"/>
    <w:qFormat/>
    <w:rsid w:val="003D257A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0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缩进 Char"/>
    <w:link w:val="a0"/>
    <w:qFormat/>
    <w:rsid w:val="003D257A"/>
    <w:rPr>
      <w:rFonts w:ascii="宋体" w:eastAsia="宋体" w:hAnsi="宋体" w:cs="宋体"/>
      <w:kern w:val="0"/>
      <w:sz w:val="24"/>
      <w:szCs w:val="20"/>
    </w:rPr>
  </w:style>
  <w:style w:type="character" w:customStyle="1" w:styleId="3Char1">
    <w:name w:val="标题 3 Char1"/>
    <w:link w:val="3"/>
    <w:qFormat/>
    <w:rsid w:val="003D257A"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2Char1">
    <w:name w:val="正文首行缩进 2 Char1"/>
    <w:link w:val="2"/>
    <w:qFormat/>
    <w:rsid w:val="003D257A"/>
    <w:rPr>
      <w:rFonts w:ascii="宋体" w:eastAsia="宋体" w:hAnsi="宋体" w:cs="宋体"/>
      <w:kern w:val="0"/>
      <w:szCs w:val="24"/>
    </w:rPr>
  </w:style>
  <w:style w:type="paragraph" w:customStyle="1" w:styleId="ListParagraph1">
    <w:name w:val="List Paragraph1"/>
    <w:basedOn w:val="a"/>
    <w:qFormat/>
    <w:rsid w:val="003D257A"/>
    <w:pPr>
      <w:ind w:firstLineChars="200" w:firstLine="420"/>
    </w:pPr>
    <w:rPr>
      <w:rFonts w:ascii="Calibri" w:hAnsi="Calibri"/>
      <w:szCs w:val="22"/>
    </w:rPr>
  </w:style>
  <w:style w:type="paragraph" w:customStyle="1" w:styleId="CharChar1CharCharCharCharCharChar1">
    <w:name w:val="Char Char1 Char Char Char Char Char Char1"/>
    <w:basedOn w:val="a"/>
    <w:qFormat/>
    <w:rsid w:val="003D257A"/>
    <w:pPr>
      <w:spacing w:after="160" w:line="240" w:lineRule="exact"/>
    </w:pPr>
    <w:rPr>
      <w:rFonts w:ascii="Verdana" w:eastAsia="仿宋_GB2312" w:hAnsi="Verdana"/>
      <w:sz w:val="22"/>
      <w:szCs w:val="22"/>
      <w:lang w:eastAsia="en-US" w:bidi="en-US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3D257A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5">
    <w:name w:val="header"/>
    <w:basedOn w:val="a"/>
    <w:link w:val="Char1"/>
    <w:uiPriority w:val="99"/>
    <w:unhideWhenUsed/>
    <w:rsid w:val="00BF7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BF7EC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F7E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BF7EC1"/>
    <w:rPr>
      <w:rFonts w:ascii="宋体" w:eastAsia="宋体" w:hAnsi="宋体" w:cs="宋体"/>
      <w:kern w:val="0"/>
      <w:sz w:val="18"/>
      <w:szCs w:val="18"/>
    </w:rPr>
  </w:style>
  <w:style w:type="character" w:customStyle="1" w:styleId="Char10">
    <w:name w:val="正文缩进 Char1"/>
    <w:qFormat/>
    <w:rsid w:val="00BF7EC1"/>
    <w:rPr>
      <w:rFonts w:asci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57A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1"/>
    <w:qFormat/>
    <w:rsid w:val="003D257A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3D257A"/>
    <w:rPr>
      <w:rFonts w:ascii="宋体" w:eastAsia="宋体" w:hAnsi="宋体" w:cs="宋体"/>
      <w:b/>
      <w:bCs/>
      <w:kern w:val="0"/>
      <w:sz w:val="32"/>
      <w:szCs w:val="32"/>
    </w:rPr>
  </w:style>
  <w:style w:type="paragraph" w:styleId="a0">
    <w:name w:val="Normal Indent"/>
    <w:basedOn w:val="a"/>
    <w:link w:val="Char"/>
    <w:qFormat/>
    <w:rsid w:val="003D257A"/>
    <w:pPr>
      <w:autoSpaceDE w:val="0"/>
      <w:autoSpaceDN w:val="0"/>
      <w:adjustRightInd w:val="0"/>
      <w:ind w:firstLine="420"/>
    </w:pPr>
    <w:rPr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3D257A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Char1"/>
    <w:qFormat/>
    <w:rsid w:val="003D257A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0"/>
    <w:uiPriority w:val="99"/>
    <w:semiHidden/>
    <w:rsid w:val="003D257A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缩进 Char"/>
    <w:link w:val="a0"/>
    <w:qFormat/>
    <w:rsid w:val="003D257A"/>
    <w:rPr>
      <w:rFonts w:ascii="宋体" w:eastAsia="宋体" w:hAnsi="宋体" w:cs="宋体"/>
      <w:kern w:val="0"/>
      <w:sz w:val="24"/>
      <w:szCs w:val="20"/>
    </w:rPr>
  </w:style>
  <w:style w:type="character" w:customStyle="1" w:styleId="3Char1">
    <w:name w:val="标题 3 Char1"/>
    <w:link w:val="3"/>
    <w:qFormat/>
    <w:rsid w:val="003D257A"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2Char1">
    <w:name w:val="正文首行缩进 2 Char1"/>
    <w:link w:val="2"/>
    <w:qFormat/>
    <w:rsid w:val="003D257A"/>
    <w:rPr>
      <w:rFonts w:ascii="宋体" w:eastAsia="宋体" w:hAnsi="宋体" w:cs="宋体"/>
      <w:kern w:val="0"/>
      <w:szCs w:val="24"/>
    </w:rPr>
  </w:style>
  <w:style w:type="paragraph" w:customStyle="1" w:styleId="ListParagraph1">
    <w:name w:val="List Paragraph1"/>
    <w:basedOn w:val="a"/>
    <w:qFormat/>
    <w:rsid w:val="003D257A"/>
    <w:pPr>
      <w:ind w:firstLineChars="200" w:firstLine="420"/>
    </w:pPr>
    <w:rPr>
      <w:rFonts w:ascii="Calibri" w:hAnsi="Calibri"/>
      <w:szCs w:val="22"/>
    </w:rPr>
  </w:style>
  <w:style w:type="paragraph" w:customStyle="1" w:styleId="CharChar1CharCharCharCharCharChar1">
    <w:name w:val="Char Char1 Char Char Char Char Char Char1"/>
    <w:basedOn w:val="a"/>
    <w:qFormat/>
    <w:rsid w:val="003D257A"/>
    <w:pPr>
      <w:spacing w:after="160" w:line="240" w:lineRule="exact"/>
    </w:pPr>
    <w:rPr>
      <w:rFonts w:ascii="Verdana" w:eastAsia="仿宋_GB2312" w:hAnsi="Verdana"/>
      <w:sz w:val="22"/>
      <w:szCs w:val="22"/>
      <w:lang w:eastAsia="en-US" w:bidi="en-US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3D257A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  <w:style w:type="paragraph" w:styleId="a5">
    <w:name w:val="header"/>
    <w:basedOn w:val="a"/>
    <w:link w:val="Char1"/>
    <w:uiPriority w:val="99"/>
    <w:unhideWhenUsed/>
    <w:rsid w:val="00BF7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BF7EC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F7E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BF7EC1"/>
    <w:rPr>
      <w:rFonts w:ascii="宋体" w:eastAsia="宋体" w:hAnsi="宋体" w:cs="宋体"/>
      <w:kern w:val="0"/>
      <w:sz w:val="18"/>
      <w:szCs w:val="18"/>
    </w:rPr>
  </w:style>
  <w:style w:type="character" w:customStyle="1" w:styleId="Char10">
    <w:name w:val="正文缩进 Char1"/>
    <w:qFormat/>
    <w:rsid w:val="00BF7EC1"/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2181</Characters>
  <Application>Microsoft Office Word</Application>
  <DocSecurity>0</DocSecurity>
  <Lines>18</Lines>
  <Paragraphs>5</Paragraphs>
  <ScaleCrop>false</ScaleCrop>
  <Company>Organization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2024-03-20T07:22:00Z</dcterms:created>
  <dcterms:modified xsi:type="dcterms:W3CDTF">2024-04-23T02:47:00Z</dcterms:modified>
</cp:coreProperties>
</file>